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Strategies for Deconstructing Racism in the Health and Human Services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By 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https://www.amazon.com/Strategies-Deconstructing-Racism-Health-Services/dp/0199368902/ref=sr_1_3?s=books&amp;ie=UTF8&amp;qid=1515695288&amp;sr=1-3&amp;keywords=mary+pender+greene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By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Alma Carten</w:t>
        </w:r>
      </w:hyperlink>
      <w:r w:rsidDel="00000000" w:rsidR="00000000" w:rsidRPr="00000000">
        <w:rPr>
          <w:rtl w:val="0"/>
        </w:rPr>
        <w:t xml:space="preserve">  (Editor),‎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Alan Siskind</w:t>
        </w:r>
      </w:hyperlink>
      <w:r w:rsidDel="00000000" w:rsidR="00000000" w:rsidRPr="00000000">
        <w:rPr>
          <w:rtl w:val="0"/>
        </w:rPr>
        <w:t xml:space="preserve">(Editor),‎ 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Mary Pender Greene</w:t>
        </w:r>
      </w:hyperlink>
      <w:r w:rsidDel="00000000" w:rsidR="00000000" w:rsidRPr="00000000">
        <w:rPr>
          <w:rtl w:val="0"/>
        </w:rPr>
        <w:t xml:space="preserve"> (Editor)     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123825</wp:posOffset>
            </wp:positionH>
            <wp:positionV relativeFrom="paragraph">
              <wp:posOffset>2647950</wp:posOffset>
            </wp:positionV>
            <wp:extent cx="3162300" cy="4752975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75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s://www.amazon.com/s/ref=dp_byline_sr_book_3?ie=UTF8&amp;text=Mary+Pender+Greene&amp;search-alias=books&amp;field-author=Mary+Pender+Greene&amp;sort=relevancerank" TargetMode="External"/><Relationship Id="rId9" Type="http://schemas.openxmlformats.org/officeDocument/2006/relationships/hyperlink" Target="https://www.amazon.com/s/ref=dp_byline_sr_book_3?ie=UTF8&amp;text=Mary+Pender+Greene&amp;search-alias=books&amp;field-author=Mary+Pender+Greene&amp;sort=relevanceran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mazon.com/Strategies-Deconstructing-Racism-Health-Services/dp/0199368902/ref=sr_1_3?s=books&amp;ie=UTF8&amp;qid=1515695288&amp;sr=1-3&amp;keywords=mary+pender+greene" TargetMode="External"/><Relationship Id="rId7" Type="http://schemas.openxmlformats.org/officeDocument/2006/relationships/hyperlink" Target="https://www.amazon.com/s/ref=dp_byline_sr_book_1?ie=UTF8&amp;text=Alma+Carten&amp;search-alias=books&amp;field-author=Alma+Carten&amp;sort=relevancerank" TargetMode="External"/><Relationship Id="rId8" Type="http://schemas.openxmlformats.org/officeDocument/2006/relationships/hyperlink" Target="https://www.amazon.com/s/ref=dp_byline_sr_book_2?ie=UTF8&amp;text=Alan+Siskind&amp;search-alias=books&amp;field-author=Alan+Siskind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